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Нормативные документы, регламентирующие порядок рассмотренияобращений граждан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Нормативные документы, регламентирующие порядок рассмотренияобращений граждан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Статья 33Конституции Российской Федерации;</w:t>
            </w:r>
            <w:br/>
            <w:br/>
            <w:r>
              <w:rPr/>
              <w:t xml:space="preserve">Федеральный закон от 2 мая 2006 г. № 59-ФЗ «О порядке рассмотренияобращений граждан Российской Федерации»;</w:t>
            </w:r>
            <w:br/>
            <w:br/>
            <w:r>
              <w:rPr/>
              <w:t xml:space="preserve">Федеральный закон от 9 февраля 2009 г. № 8-ФЗ «Об обеспечениидоступа к информации о деятельности государственных органов иорганов местного самоуправления»;</w:t>
            </w:r>
            <w:br/>
            <w:br/>
            <w:r>
              <w:rPr/>
              <w:t xml:space="preserve">Приказ МЧС России от 2 сентября 2014 г. № 484 «Об утвержденииРегламента Министерства Российской Федерации по делам гражданскойобороны, чрезвычайным ситуациям и ликвидации последствий стихийныхбедствий»;</w:t>
            </w:r>
            <w:br/>
            <w:br/>
            <w:r>
              <w:rPr/>
              <w:t xml:space="preserve">Приказ МЧС России от 31 марта 2015 г. № 145 «Об утвержденииинструкции по работе с обращениями граждан в системе МЧСРоссии».</w:t>
            </w:r>
            <w:br/>
            <w:br/>
            <w:r>
              <w:rPr/>
              <w:t xml:space="preserve">Полномочия, задачи и функции МЧС России определены УказомПрезидента Российской Федерации от 11 июля 2004 г. № 868 «ВопросыМинистерства Российской Федерации по делам гражданской обороны,чрезвычайным ситуациям и ликвидации последствий стихийныхбедствий».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2021-04-29T04:56:41+07:00</dcterms:created>
  <dcterms:modified xsi:type="dcterms:W3CDTF">2021-04-29T04:56:41+07:00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